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7"/>
        <w:gridCol w:w="698"/>
        <w:gridCol w:w="1689"/>
        <w:gridCol w:w="709"/>
        <w:gridCol w:w="944"/>
        <w:gridCol w:w="614"/>
        <w:gridCol w:w="331"/>
        <w:gridCol w:w="236"/>
        <w:gridCol w:w="440"/>
        <w:gridCol w:w="269"/>
        <w:gridCol w:w="142"/>
        <w:gridCol w:w="283"/>
        <w:gridCol w:w="307"/>
        <w:gridCol w:w="673"/>
        <w:gridCol w:w="1398"/>
        <w:gridCol w:w="47"/>
      </w:tblGrid>
      <w:tr w:rsidR="000B6EBE" w:rsidRPr="00F05160" w:rsidTr="00FF0969">
        <w:trPr>
          <w:gridAfter w:val="1"/>
          <w:wAfter w:w="47" w:type="dxa"/>
        </w:trPr>
        <w:tc>
          <w:tcPr>
            <w:tcW w:w="10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0B6EBE" w:rsidRPr="00F05160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EB3B1E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IT(KI)3305, Ислам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теологиясындағы адам</w:t>
            </w:r>
          </w:p>
          <w:p w:rsidR="000B6EBE" w:rsidRPr="00EB3B1E" w:rsidRDefault="000B6EB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Күзгі семестр </w:t>
            </w:r>
            <w:r w:rsidR="00411BF7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жылы</w:t>
            </w:r>
          </w:p>
        </w:tc>
      </w:tr>
      <w:tr w:rsidR="000B6EBE" w:rsidRPr="00F05160" w:rsidTr="00FF0969">
        <w:trPr>
          <w:gridAfter w:val="1"/>
          <w:wAfter w:w="47" w:type="dxa"/>
          <w:trHeight w:val="265"/>
        </w:trPr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 сағат саны</w:t>
            </w:r>
          </w:p>
        </w:tc>
        <w:tc>
          <w:tcPr>
            <w:tcW w:w="1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6EBE" w:rsidRPr="00F05160" w:rsidTr="00FF0969">
        <w:trPr>
          <w:gridAfter w:val="1"/>
          <w:wAfter w:w="47" w:type="dxa"/>
          <w:trHeight w:val="265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IT(KI)3305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1E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Ислам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теологиясындағы адам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</w:t>
            </w:r>
            <w:proofErr w:type="spellStart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философиясы</w:t>
            </w:r>
            <w:proofErr w:type="spellEnd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>Діни</w:t>
            </w:r>
            <w:proofErr w:type="spellEnd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философия»</w:t>
            </w: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F0969" w:rsidRDefault="00FF0969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Әлтаева Нұрсұлу Сауранбекқызы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2+1+0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 бойынша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5D3339" w:rsidRDefault="00F05160" w:rsidP="00FF09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D3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FF0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7011611984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к</w:t>
            </w: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есте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  </w:t>
            </w: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6EBE" w:rsidRPr="00F05160" w:rsidTr="00FF0969">
        <w:trPr>
          <w:gridAfter w:val="1"/>
          <w:wAfter w:w="47" w:type="dxa"/>
          <w:trHeight w:val="1204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сипаттамасы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EB3B1E" w:rsidP="00EB3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Ислам теологиясындағы адам 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пәнінің мақсаты ислам дініндегі сеніммен байланысты мәселелерді теориялық тұрғыдан талдау жасау, ислам теологиясының басты ерекшеліктерін айқындау болып табылады.</w:t>
            </w: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 пәнінің мақсаты ислам дініндегі сеніммен байланысты мәселелерді теориялық тұрғыдан талдау жасау, ислам теологиясының басты ерекшеліктерін айқындау болып табылады.</w:t>
            </w:r>
          </w:p>
        </w:tc>
      </w:tr>
      <w:tr w:rsidR="000B6EBE" w:rsidRPr="00FF0969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нәтижелері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160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мамандандырылған әлеуметтік іс жүргізуде ұйымдастыру-басқарушылық қабілеттерін көрсете білу, қазақ тілінде сонымен қатар шет тілдердегі әдебиеттермен жұмыс жүргізу;</w:t>
            </w:r>
          </w:p>
          <w:p w:rsidR="00F05160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қарсыласының ұстанымын сыйлай және түсіне білу, даулы мәселелердің шешімін таба білу;</w:t>
            </w:r>
          </w:p>
          <w:p w:rsidR="000B6EBE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bookmarkStart w:id="0" w:name="_GoBack"/>
            <w:bookmarkEnd w:id="0"/>
            <w:r w:rsidR="00F05160"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көптеген дінтанулық мәтіндерге сараптама жасай алу, өз ойын және пайымын жеткізу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нақты қорытынды шығара білу;</w:t>
            </w:r>
          </w:p>
          <w:p w:rsidR="00EB3B1E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ислам теологиясының негізгі концепцияларын білу;</w:t>
            </w:r>
          </w:p>
          <w:p w:rsidR="00EB3B1E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теологиялық түпнұсқалармен жұмыс жасай алу;</w:t>
            </w:r>
          </w:p>
          <w:p w:rsidR="00EB3B1E" w:rsidRPr="00F05160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теориялық-ақпараттық білімдерін зерттеу жұмысы барысында қолдануға дағдылану.</w:t>
            </w:r>
          </w:p>
        </w:tc>
      </w:tr>
      <w:tr w:rsidR="000B6EBE" w:rsidRPr="00FF0969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17E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1E" w:rsidRPr="00E444D0" w:rsidRDefault="00EB3B1E" w:rsidP="00EB3B1E">
            <w:pPr>
              <w:pStyle w:val="a4"/>
              <w:tabs>
                <w:tab w:val="left" w:pos="2268"/>
              </w:tabs>
              <w:spacing w:after="0"/>
              <w:rPr>
                <w:b/>
                <w:bCs/>
                <w:lang w:val="kk-KZ"/>
              </w:rPr>
            </w:pPr>
            <w:r w:rsidRPr="00E444D0">
              <w:rPr>
                <w:b/>
                <w:bCs/>
                <w:lang w:val="kk-KZ"/>
              </w:rPr>
              <w:t>Негізгі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0" w:firstLine="0"/>
              <w:jc w:val="both"/>
            </w:pPr>
            <w:r w:rsidRPr="00E444D0">
              <w:t>Әл-Фараби. Философиялықтрактаттар. -А., 1970.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0" w:firstLine="0"/>
              <w:jc w:val="both"/>
            </w:pPr>
            <w:r w:rsidRPr="00E444D0">
              <w:t>Әл-Фараби. Әлеуметтік-этикалықтрактаттар.- А. ,1973.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0" w:firstLine="0"/>
              <w:jc w:val="both"/>
            </w:pPr>
            <w:r w:rsidRPr="00E444D0">
              <w:rPr>
                <w:lang w:val="kk-KZ"/>
              </w:rPr>
              <w:t xml:space="preserve">Корбен Анри. </w:t>
            </w:r>
            <w:r w:rsidRPr="00E444D0">
              <w:t>История исламской философии. - М.: Прогресс-Традиция, 2010. - 360.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6314"/>
              </w:tabs>
              <w:spacing w:after="0"/>
              <w:ind w:left="0" w:firstLine="0"/>
              <w:jc w:val="both"/>
            </w:pPr>
            <w:r w:rsidRPr="00E444D0">
              <w:rPr>
                <w:lang w:val="kk-KZ"/>
              </w:rPr>
              <w:t>Артур Сагадеев. Восточный перипатетизм. - М., 2009.</w:t>
            </w:r>
          </w:p>
          <w:p w:rsidR="00EB3B1E" w:rsidRPr="00EB3B1E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6314"/>
              </w:tabs>
              <w:spacing w:after="0"/>
              <w:ind w:left="0" w:firstLine="0"/>
              <w:jc w:val="both"/>
            </w:pPr>
            <w:r w:rsidRPr="00E444D0">
              <w:rPr>
                <w:lang w:val="kk-KZ"/>
              </w:rPr>
              <w:t>Б. Топалоғлу. Ислам теологиясы. Кіріспе. – Алматы, 2014.</w:t>
            </w:r>
          </w:p>
          <w:p w:rsidR="00EB3B1E" w:rsidRPr="00E444D0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</w:t>
            </w:r>
          </w:p>
          <w:p w:rsidR="00EB3B1E" w:rsidRPr="00E444D0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Тримингэм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 Дж. С. 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Суфийские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 ордены в исламе. М., 1989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B3B1E" w:rsidRPr="00E444D0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Т. Ғабитов, Қ. Затов. Қазақ мәдениетінің рухани кеңістігі. – Алматы,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2012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B1E" w:rsidRPr="00E444D0" w:rsidRDefault="00EB3B1E" w:rsidP="00EB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Н.Ж. Байтенова және т.б. Исламдағы секталар мен бағыттар. - Алматы, 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2013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B1E" w:rsidRPr="00E444D0" w:rsidRDefault="00EB3B1E" w:rsidP="00EB3B1E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Д. Кенжетай. </w:t>
            </w: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философиясы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. Алматы. 2012ж. -115 бет.</w:t>
            </w:r>
          </w:p>
          <w:p w:rsidR="00EB3B1E" w:rsidRPr="00E444D0" w:rsidRDefault="00EB3B1E" w:rsidP="00EB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Кенжетай. Қожа Ахмет Иасауи дүниетанымы. - Түркістан, 2004. - 341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бет</w:t>
            </w:r>
          </w:p>
          <w:p w:rsidR="000B6EBE" w:rsidRPr="00DD317E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Кенжетай. Қожа Ахмет Иасауи дүниетанымы. - Түркістан, 2004. - 341 бет</w:t>
            </w:r>
          </w:p>
        </w:tc>
      </w:tr>
      <w:tr w:rsidR="000B6EBE" w:rsidRPr="00FF0969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 ұйымдастыру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курста Ислам философиясы </w:t>
            </w:r>
            <w:r w:rsidR="000B6EBE"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негіздері туралы  материалдар беріледі, сондықтан осы салада жазылған оқулықтар мен монографияларға ерекше басымдық беріледі. Үй тапсырмалары сіздерге дәріс барысында қарастырылған материалдарды терең түсінуге мүмкіндік береді.</w:t>
            </w: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талаптары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дәрістерге алдын ала төмендегі кестеге сәйкес дайындалуыңыз қажет. Дайындық аудиториялық дәрісте талқыланатын тақырып қарастырылғанға дейін аяқталуы тиіс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семестр бойына кестеде көрсетілгендей бөлінеді.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бірнеше сұрақтан тұрады және ол сұрақтарға әртүрлі дереккөздерді қарастыру арқылы дайындалу қажет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 бойына сіз нақты тапсырмалардан тұратын өзіндік жұмыстар жүргізесіз және ол барлық тапсырмаларды қоса есептегенде курстың 50 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бағасын құрайды.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орындау барысында төмендегі қағидалар сақталуы тиіс:</w:t>
            </w:r>
          </w:p>
          <w:p w:rsidR="000B6EBE" w:rsidRPr="0024561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өз уақытында өткізілуі тиіс. Кешіккен жағдайда қабылданбайды.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талапқа сәйкес рәсімделуі тиіс. А4 ақ қағазда мұқаба, мазмұны, кіріспе, негізгі бөлім (бірнеше бөлімшелерге бөлінуі мүмкін), қорытынды, пайдаланылған әдебиеттер тізімінен тұруы тиіс.</w:t>
            </w:r>
          </w:p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дербес орындалуы тиіс. Көшірме (плагиат) жасалған жұмыстар қабылданбайды және ол бағаның едәуір төмендетілуіне себеп болады.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терілуі тиіс.</w:t>
            </w:r>
          </w:p>
        </w:tc>
      </w:tr>
      <w:tr w:rsidR="000B6EBE" w:rsidRPr="00F05160" w:rsidTr="00FF0969">
        <w:trPr>
          <w:gridAfter w:val="1"/>
          <w:wAfter w:w="47" w:type="dxa"/>
          <w:trHeight w:val="258"/>
        </w:trPr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жұмыстың сипаттамасы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0B6EBE" w:rsidRPr="00F05160" w:rsidTr="00FF0969">
        <w:trPr>
          <w:gridAfter w:val="1"/>
          <w:wAfter w:w="47" w:type="dxa"/>
          <w:trHeight w:val="576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қорытынды бағаңыз мына формуламен есептеледі</w:t>
            </w:r>
          </w:p>
          <w:p w:rsidR="000B6EBE" w:rsidRPr="00F05160" w:rsidRDefault="00FF0969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21FED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2.25pt;height:27pt" equationxml="&lt;">
                  <v:imagedata r:id="rId5" o:title="" chromakey="white"/>
                </v:shape>
              </w:pic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бағаның минималды пайыздық көрсеткіштері берілген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0B6EBE" w:rsidRPr="00FF0969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тапсырмаларының мерзімі университеттің академиялық саясатына сәйкес себепті жағдайларға байланысты ұзартылуы мүмкін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науқастану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 және т.б.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Студенттің семинар сабақтарындағы белсенділігі, пікірталастарға қатысып, дәрістерде өз көзқарасын ортаға салып отыруы оны жалпы бағалау барысында ескеріледі. 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Модуль  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4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дәріс.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теологиясындағы адам пәнінің міндеттері мен мақсаты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семинар. Ислам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теологиясындағы адам</w:t>
            </w:r>
            <w:r w:rsidR="00FF0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оның жауапкершілігі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СОӨЖИслам діні: пайда болуы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Адам  ата туралы.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7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теологиясы бойынша  адамның жаратылу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семинар.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жаратылуы туралы түсіндірмелер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 Ислам ағымдарын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адам жаратылуы туралы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Матуридилік ілімдегі адам және оның амалдары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Матуридилік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Матуридилік пен Ашарилік бағыттардың ұқсастықтары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FF0969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Ашарилік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Ашарилік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pStyle w:val="3"/>
              <w:spacing w:after="0"/>
              <w:rPr>
                <w:b/>
                <w:sz w:val="24"/>
                <w:szCs w:val="24"/>
                <w:lang w:val="kk-KZ"/>
              </w:rPr>
            </w:pPr>
            <w:r w:rsidRPr="00E444D0">
              <w:rPr>
                <w:sz w:val="24"/>
                <w:szCs w:val="24"/>
                <w:lang w:val="tr-TR"/>
              </w:rPr>
              <w:t>4</w:t>
            </w:r>
            <w:r w:rsidRPr="00E444D0">
              <w:rPr>
                <w:sz w:val="24"/>
                <w:szCs w:val="24"/>
                <w:lang w:val="kk-KZ"/>
              </w:rPr>
              <w:t xml:space="preserve"> СОӨЖ </w:t>
            </w:r>
            <w:r>
              <w:rPr>
                <w:sz w:val="24"/>
                <w:szCs w:val="24"/>
                <w:lang w:val="kk-KZ"/>
              </w:rPr>
              <w:t>Матуридилік пен Ашарилік бағыттардың айырмашылықтары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FF0969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Модуль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Құрандағы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tabs>
                <w:tab w:val="left" w:pos="765"/>
                <w:tab w:val="center" w:pos="8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Құрандағы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Құран жалпы сипаттама нақты деректер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іс-әрекетіндегі иман-амал арақатынасының маңызы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Діндегі иман-амал түсініктері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Суниттік теологиядағы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Суниттік теологиядағы адамның ерік-қалау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>7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СОӨЖИсламдағы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теологиясындағы </w:t>
            </w:r>
            <w:r w:rsidRPr="00E444D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ағдыр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Exam – </w:t>
            </w: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апта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CF0BE5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Исламдағы адам құндылықтары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Исламдағы құндылықтар туралы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дініндегі адам туралы ойлар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Исламдағы діни-этикалық мәселелер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Исламдағы ахлақ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pStyle w:val="7"/>
              <w:ind w:firstLine="0"/>
              <w:jc w:val="left"/>
              <w:rPr>
                <w:b w:val="0"/>
                <w:sz w:val="24"/>
                <w:lang w:val="tr-TR"/>
              </w:rPr>
            </w:pPr>
            <w:r w:rsidRPr="00E444D0">
              <w:rPr>
                <w:b w:val="0"/>
                <w:sz w:val="24"/>
                <w:lang w:val="tr-TR"/>
              </w:rPr>
              <w:t xml:space="preserve">9 </w:t>
            </w:r>
            <w:r w:rsidRPr="00E444D0">
              <w:rPr>
                <w:b w:val="0"/>
                <w:sz w:val="24"/>
                <w:lang w:val="kk-KZ"/>
              </w:rPr>
              <w:t xml:space="preserve">СОӨЖ </w:t>
            </w:r>
            <w:r>
              <w:rPr>
                <w:b w:val="0"/>
                <w:sz w:val="24"/>
                <w:lang w:val="kk-KZ"/>
              </w:rPr>
              <w:t>Матуридидің адам туралы ойлары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Исламдағы адам күнәсі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Исламдағы жалпы күнә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 xml:space="preserve">10 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Әлемдік діндердегі күнә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теологиясындағы жаратушы мен адам қарым-қатынасы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теологиясындағы жаратушы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Мұхаммед пайғамбардың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теологиясындағы адам мен қоғам қарым-қатынасы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Қоғамдағы адам орны мен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Суфизмдегі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Сопылық ілімдегі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Яссауи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Сопылық іліміндегі инсан-ән-камил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Сопылық іліміндегі жетілген адам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Ақида және кәлам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ислами ағымдардағы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 сабақ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ислеми ағымдар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ислами ағымдарға жеке жеке талқылау (слайд)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33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>Масалимова А.Р.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Әдістемелік бюро төрайымы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F0969">
        <w:rPr>
          <w:rFonts w:ascii="Times New Roman" w:hAnsi="Times New Roman" w:cs="Times New Roman"/>
          <w:sz w:val="24"/>
          <w:szCs w:val="24"/>
          <w:lang w:val="kk-KZ"/>
        </w:rPr>
        <w:t>Кабакова М.П.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3339">
        <w:rPr>
          <w:rFonts w:ascii="Times New Roman" w:hAnsi="Times New Roman" w:cs="Times New Roman"/>
          <w:sz w:val="24"/>
          <w:szCs w:val="24"/>
          <w:lang w:val="kk-KZ"/>
        </w:rPr>
        <w:t>Құрманалиева А.Д.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F0969">
        <w:rPr>
          <w:rFonts w:ascii="Times New Roman" w:hAnsi="Times New Roman" w:cs="Times New Roman"/>
          <w:sz w:val="24"/>
          <w:szCs w:val="24"/>
          <w:lang w:val="kk-KZ"/>
        </w:rPr>
        <w:t>Әлтаева Н.С.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D45837" w:rsidRPr="0017385E" w:rsidRDefault="00D45837">
      <w:pPr>
        <w:rPr>
          <w:lang w:val="kk-KZ"/>
        </w:rPr>
      </w:pPr>
    </w:p>
    <w:sectPr w:rsidR="00D45837" w:rsidRPr="0017385E" w:rsidSect="0005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87C98"/>
    <w:multiLevelType w:val="hybridMultilevel"/>
    <w:tmpl w:val="EFC4CC34"/>
    <w:lvl w:ilvl="0" w:tplc="393E7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B6EBE"/>
    <w:rsid w:val="00054086"/>
    <w:rsid w:val="000B6EBE"/>
    <w:rsid w:val="00121FED"/>
    <w:rsid w:val="0017385E"/>
    <w:rsid w:val="00245612"/>
    <w:rsid w:val="00257234"/>
    <w:rsid w:val="00292359"/>
    <w:rsid w:val="00411BF7"/>
    <w:rsid w:val="00594BA7"/>
    <w:rsid w:val="005D3339"/>
    <w:rsid w:val="007A06C7"/>
    <w:rsid w:val="00825C84"/>
    <w:rsid w:val="0099674F"/>
    <w:rsid w:val="00BA7D25"/>
    <w:rsid w:val="00BB3109"/>
    <w:rsid w:val="00C702ED"/>
    <w:rsid w:val="00D45837"/>
    <w:rsid w:val="00DB0E11"/>
    <w:rsid w:val="00DB56F7"/>
    <w:rsid w:val="00DD317E"/>
    <w:rsid w:val="00E06BA9"/>
    <w:rsid w:val="00EB3B1E"/>
    <w:rsid w:val="00F05160"/>
    <w:rsid w:val="00FF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6"/>
  </w:style>
  <w:style w:type="paragraph" w:styleId="4">
    <w:name w:val="heading 4"/>
    <w:basedOn w:val="a"/>
    <w:next w:val="a"/>
    <w:link w:val="40"/>
    <w:uiPriority w:val="9"/>
    <w:unhideWhenUsed/>
    <w:qFormat/>
    <w:rsid w:val="000B6E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B6EB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E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B6EB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uiPriority w:val="99"/>
    <w:unhideWhenUsed/>
    <w:rsid w:val="000B6EB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B6E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B6EB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0B6E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0B6EBE"/>
  </w:style>
  <w:style w:type="paragraph" w:styleId="a7">
    <w:name w:val="Body Text Indent"/>
    <w:basedOn w:val="a"/>
    <w:link w:val="a8"/>
    <w:uiPriority w:val="99"/>
    <w:semiHidden/>
    <w:unhideWhenUsed/>
    <w:rsid w:val="000B6E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6EBE"/>
  </w:style>
  <w:style w:type="character" w:customStyle="1" w:styleId="st">
    <w:name w:val="st"/>
    <w:basedOn w:val="a0"/>
    <w:rsid w:val="000B6EBE"/>
  </w:style>
  <w:style w:type="character" w:styleId="a9">
    <w:name w:val="Emphasis"/>
    <w:uiPriority w:val="20"/>
    <w:qFormat/>
    <w:rsid w:val="000B6EBE"/>
    <w:rPr>
      <w:i/>
      <w:iCs/>
    </w:rPr>
  </w:style>
  <w:style w:type="paragraph" w:styleId="aa">
    <w:name w:val="No Spacing"/>
    <w:uiPriority w:val="1"/>
    <w:qFormat/>
    <w:rsid w:val="00F05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Нурсулу</cp:lastModifiedBy>
  <cp:revision>4</cp:revision>
  <dcterms:created xsi:type="dcterms:W3CDTF">2018-10-29T18:06:00Z</dcterms:created>
  <dcterms:modified xsi:type="dcterms:W3CDTF">2018-12-11T05:11:00Z</dcterms:modified>
</cp:coreProperties>
</file>